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3" w:rsidRPr="000B6F9E" w:rsidRDefault="006E6473" w:rsidP="006E6473">
      <w:pPr>
        <w:spacing w:after="150" w:line="240" w:lineRule="auto"/>
        <w:outlineLvl w:val="1"/>
        <w:rPr>
          <w:rFonts w:ascii="Times New Roman" w:eastAsia="Times New Roman" w:hAnsi="Times New Roman" w:cs="Times New Roman"/>
          <w:sz w:val="52"/>
          <w:szCs w:val="57"/>
          <w:lang w:val="es-ES"/>
        </w:rPr>
      </w:pPr>
      <w:r w:rsidRPr="000B6F9E">
        <w:rPr>
          <w:rFonts w:ascii="Times New Roman" w:eastAsia="Times New Roman" w:hAnsi="Times New Roman" w:cs="Times New Roman"/>
          <w:sz w:val="52"/>
          <w:szCs w:val="57"/>
          <w:lang w:val="es-ES"/>
        </w:rPr>
        <w:t xml:space="preserve">En la tumba de Lázaro: </w:t>
      </w:r>
    </w:p>
    <w:p w:rsidR="006E6473" w:rsidRPr="000B6F9E" w:rsidRDefault="006E6473" w:rsidP="006E6473">
      <w:pPr>
        <w:spacing w:after="150" w:line="240" w:lineRule="auto"/>
        <w:outlineLvl w:val="1"/>
        <w:rPr>
          <w:rFonts w:ascii="Times New Roman" w:eastAsia="Times New Roman" w:hAnsi="Times New Roman" w:cs="Times New Roman"/>
          <w:sz w:val="52"/>
          <w:szCs w:val="57"/>
          <w:lang w:val="es-ES"/>
        </w:rPr>
      </w:pPr>
      <w:r w:rsidRPr="000B6F9E">
        <w:rPr>
          <w:rFonts w:ascii="Times New Roman" w:eastAsia="Times New Roman" w:hAnsi="Times New Roman" w:cs="Times New Roman"/>
          <w:sz w:val="52"/>
          <w:szCs w:val="57"/>
          <w:lang w:val="es-ES"/>
        </w:rPr>
        <w:t xml:space="preserve"> 5º Domingo de Cuaresma</w:t>
      </w:r>
    </w:p>
    <w:p w:rsidR="006E6473" w:rsidRPr="000B6F9E" w:rsidRDefault="00AF159D" w:rsidP="00F5206C">
      <w:pPr>
        <w:spacing w:after="0" w:line="240" w:lineRule="auto"/>
        <w:rPr>
          <w:rFonts w:ascii="Times New Roman" w:eastAsia="Times New Roman" w:hAnsi="Times New Roman" w:cs="Times New Roman"/>
          <w:color w:val="705624"/>
          <w:sz w:val="24"/>
          <w:szCs w:val="27"/>
          <w:lang w:val="es-ES"/>
        </w:rPr>
      </w:pPr>
      <w:r w:rsidRPr="000B6F9E">
        <w:rPr>
          <w:rFonts w:ascii="Times New Roman" w:eastAsia="Times New Roman" w:hAnsi="Times New Roman" w:cs="Times New Roman"/>
          <w:color w:val="705624"/>
          <w:sz w:val="24"/>
          <w:szCs w:val="27"/>
          <w:lang w:val="es-ES"/>
        </w:rPr>
        <w:t>27 de Marzo</w:t>
      </w:r>
      <w:r w:rsidR="006E6473" w:rsidRPr="000B6F9E">
        <w:rPr>
          <w:rFonts w:ascii="Times New Roman" w:eastAsia="Times New Roman" w:hAnsi="Times New Roman" w:cs="Times New Roman"/>
          <w:color w:val="705624"/>
          <w:sz w:val="24"/>
          <w:szCs w:val="27"/>
          <w:lang w:val="es-ES"/>
        </w:rPr>
        <w:t>, 2017</w:t>
      </w:r>
    </w:p>
    <w:p w:rsidR="00F5206C" w:rsidRPr="00F5206C" w:rsidRDefault="00F5206C" w:rsidP="00F5206C">
      <w:pPr>
        <w:spacing w:after="0" w:line="240" w:lineRule="auto"/>
        <w:rPr>
          <w:rFonts w:ascii="Times New Roman" w:eastAsia="Times New Roman" w:hAnsi="Times New Roman" w:cs="Times New Roman"/>
          <w:color w:val="705624"/>
          <w:sz w:val="27"/>
          <w:szCs w:val="27"/>
          <w:lang w:val="es-ES"/>
        </w:rPr>
      </w:pPr>
    </w:p>
    <w:p w:rsidR="006E6473" w:rsidRPr="00F5206C" w:rsidRDefault="006E647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  <w:r w:rsidRPr="00F5206C"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  <w:t>Lecturas:</w:t>
      </w:r>
    </w:p>
    <w:p w:rsidR="006E6473" w:rsidRPr="00F5206C" w:rsidRDefault="006E647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  <w:r w:rsidRPr="00F5206C"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  <w:t>Ezequiel 37,12-14</w:t>
      </w:r>
    </w:p>
    <w:p w:rsidR="006E6473" w:rsidRPr="00F5206C" w:rsidRDefault="006E647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  <w:r w:rsidRPr="00F5206C"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  <w:t>Salmo 130,1-8</w:t>
      </w:r>
    </w:p>
    <w:p w:rsidR="00AF159D" w:rsidRPr="00F5206C" w:rsidRDefault="006E647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  <w:r w:rsidRPr="00F5206C"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  <w:t>Romanos 8,8-11</w:t>
      </w:r>
    </w:p>
    <w:p w:rsidR="002301B5" w:rsidRPr="00F5206C" w:rsidRDefault="006E647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  <w:r w:rsidRPr="00F5206C"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  <w:t>Juan 11,1-45</w:t>
      </w:r>
      <w:bookmarkStart w:id="0" w:name="_GoBack"/>
      <w:bookmarkEnd w:id="0"/>
    </w:p>
    <w:p w:rsidR="002B3663" w:rsidRPr="00F5206C" w:rsidRDefault="002B3663" w:rsidP="002B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3"/>
          <w:sz w:val="23"/>
          <w:szCs w:val="23"/>
          <w:lang w:val="es-ES"/>
        </w:rPr>
      </w:pP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Mientras nos acercamos al final de la Cuaresma, el Evangelio de hoy claramente tiene en vista la futura pasión y la muerte de Jesús.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Por ello Juan nos da detalles sobre la hermana de Lázaro, María, quien ungió al Señor en preparación para su sepultura (cf. J</w:t>
      </w:r>
      <w:r w:rsidR="002B3663"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ua</w:t>
      </w: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n 12,3-7). Sus discípulos le advierten que no debe volver a Judea; Tomás incluso predice que ellos “morirán con Él” si regresan.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Cuando Lázaro es resucitado, Juan se fija en la piedra removida, en los lienzos y el sudario; todos los detalles que después notará en la tumba vacía de Jesús (cf. J</w:t>
      </w:r>
      <w:r w:rsidR="002B3663"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ua</w:t>
      </w: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n 20,1.6.7).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Como el ciego de quien hablaban las lecturas de la semana pasada, Lázaro representa a toda la humanidad, al “muerto”, que refiere a todos aquellos a quienes Jesús ama y quiere liberar de las ataduras del pecado y de la muerte.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Juan incluso recuerda al cieg</w:t>
      </w:r>
      <w:r w:rsidR="002B3663"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o en su narración de hoy (cf. Juan</w:t>
      </w: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 xml:space="preserve"> 11,37). Como sucedió con el ciego de nacimiento, Jesús utiliza la muerte de Lázaro para revelar “la gloria de Dios” (cf. J</w:t>
      </w:r>
      <w:r w:rsidR="002B3663"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ua</w:t>
      </w: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 xml:space="preserve">n 9,3). Y también, como la semana pasada, las palabras y hazañas de Jesús le dan </w:t>
      </w:r>
      <w:r w:rsidR="002B3663"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la vista a los que creen (cf. Juan</w:t>
      </w: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 xml:space="preserve"> 11,40).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Si creemos, veremos que Jesús nos ama a cada uno como amó a Lázaro y que nos llama de la muerte a la nueva vida.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Jesús ha cumplido, por su resurrección, la promesa que hace Ezequiel en la primera lectura de hoy. Él ha abierto los sepulcros para que nos podamos levantar; ha puesto en nosotros su Espíritu para que podamos vivir. Sobre ese Espíritu escribe San Pablo en la epístola de este día, el mismo que resucitó a Jesús de entre los muertos y que nos dará vida a quienes una vez estuvimos muertos en el pecado.</w:t>
      </w:r>
    </w:p>
    <w:p w:rsidR="006E6473" w:rsidRPr="000B6F9E" w:rsidRDefault="006E6473" w:rsidP="006E647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La fe es la clave. Si creemos como Marta en el Evangelio de hoy –que Jesús es la resurrección y la vida- incluso si morimos, viviremos.</w:t>
      </w:r>
    </w:p>
    <w:p w:rsidR="009E096A" w:rsidRPr="000B6F9E" w:rsidRDefault="006E6473" w:rsidP="000B6F9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</w:pPr>
      <w:r w:rsidRP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“Lo he prometido y lo haré”, nos asegura el Padre en la primera lectura. Debemos confiar en su Palabra que nos dice que en Él está la salvación y el perdón, como cantamos en el salmo de hoy</w:t>
      </w:r>
      <w:r w:rsidR="000B6F9E">
        <w:rPr>
          <w:rFonts w:ascii="Times New Roman" w:eastAsia="Times New Roman" w:hAnsi="Times New Roman" w:cs="Times New Roman"/>
          <w:color w:val="333333"/>
          <w:spacing w:val="3"/>
          <w:szCs w:val="23"/>
          <w:lang w:val="es-ES"/>
        </w:rPr>
        <w:t>.</w:t>
      </w:r>
    </w:p>
    <w:sectPr w:rsidR="009E096A" w:rsidRPr="000B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3"/>
    <w:rsid w:val="000B6F9E"/>
    <w:rsid w:val="002301B5"/>
    <w:rsid w:val="002307A1"/>
    <w:rsid w:val="002B3663"/>
    <w:rsid w:val="006E6473"/>
    <w:rsid w:val="00AF159D"/>
    <w:rsid w:val="00F5206C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Abi Hernandez</cp:lastModifiedBy>
  <cp:revision>3</cp:revision>
  <dcterms:created xsi:type="dcterms:W3CDTF">2017-04-03T14:54:00Z</dcterms:created>
  <dcterms:modified xsi:type="dcterms:W3CDTF">2017-04-03T14:54:00Z</dcterms:modified>
</cp:coreProperties>
</file>